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附件1</w:t>
      </w:r>
    </w:p>
    <w:p>
      <w:pPr>
        <w:spacing w:line="520" w:lineRule="exact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本次检验项目</w:t>
      </w:r>
    </w:p>
    <w:p>
      <w:pPr>
        <w:spacing w:line="520" w:lineRule="exact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粮食加工品</w:t>
      </w:r>
    </w:p>
    <w:p>
      <w:pPr>
        <w:numPr>
          <w:ilvl w:val="0"/>
          <w:numId w:val="1"/>
        </w:numPr>
        <w:spacing w:line="520" w:lineRule="exact"/>
        <w:ind w:firstLine="627" w:firstLineChars="196"/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  <w:t xml:space="preserve">抽检依据 </w:t>
      </w:r>
    </w:p>
    <w:p>
      <w:pPr>
        <w:numPr>
          <w:ilvl w:val="0"/>
          <w:numId w:val="0"/>
        </w:numPr>
        <w:spacing w:line="520" w:lineRule="exac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抽检依据《食品安全国家标准 食品添加剂使用标准》（GB 2760-2014）、《食品安全国家标准 食品中污染物限量》（GB 2762-2012）、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食品安全国家标准 食品中农药最大残留限量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GB 2763-2014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520" w:lineRule="exact"/>
        <w:ind w:firstLine="627" w:firstLineChars="196"/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  <w:t>检验项目</w:t>
      </w:r>
    </w:p>
    <w:p>
      <w:pPr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1.大米抽检项目包括铅（以Pb计）、镉（以Cd计）、总汞（以Hg计）、无机砷（以As计）、铬（以Cr计）、黄曲霉毒素B</w:t>
      </w:r>
      <w:r>
        <w:rPr>
          <w:rFonts w:hint="eastAsia" w:ascii="仿宋_GB2312" w:hAnsi="宋体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、赭曲霉毒素A、丙草胺、稻瘟灵、禾草敌、敌瘟磷、杀虫环。</w:t>
      </w:r>
    </w:p>
    <w:p>
      <w:pPr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 xml:space="preserve">    2.通用小麦粉、专用小麦粉抽检项目包括铅（以Pb计）、镉（以Cd计）、总汞（以Hg计）、总砷（以As计）、铬（以Cr计）、二氧化钛、滑石粉、黄曲霉毒素B</w:t>
      </w:r>
      <w:r>
        <w:rPr>
          <w:rFonts w:hint="eastAsia" w:ascii="仿宋_GB2312" w:hAnsi="宋体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、玉米赤霉烯酮、脱氧雪腐镰刀菌烯醇、赭曲霉毒素A、过氧化苯甲酰、溴酸钾、甲醛次硫酸氢钠（以甲醛计）、草甘膦、杀螟硫磷、生物苄呋菊酯。</w:t>
      </w:r>
    </w:p>
    <w:p>
      <w:pPr>
        <w:widowControl w:val="0"/>
        <w:numPr>
          <w:ilvl w:val="0"/>
          <w:numId w:val="0"/>
        </w:numPr>
        <w:spacing w:line="520" w:lineRule="exact"/>
        <w:ind w:firstLine="640"/>
        <w:jc w:val="both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3.挂面、手工面抽检项目包括铅（以Pb计）、二氧化钛。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二、食用油、油脂及其制品</w:t>
      </w:r>
    </w:p>
    <w:p>
      <w:pPr>
        <w:numPr>
          <w:ilvl w:val="0"/>
          <w:numId w:val="2"/>
        </w:numPr>
        <w:spacing w:line="520" w:lineRule="exact"/>
        <w:ind w:firstLine="627" w:firstLineChars="196"/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  <w:t>抽检依据</w:t>
      </w:r>
    </w:p>
    <w:p>
      <w:pPr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 xml:space="preserve">    抽检依据《食品安全国家标准 食品添加剂使用标准》（GB 2760-2014）、《食品安全国家标准 食品中污染物限量》（GB 2762-2012）、《食用植物油卫生标准》（GB 2716-2005）等标准及产品明示标准和指标的要求。</w:t>
      </w:r>
    </w:p>
    <w:p>
      <w:pPr>
        <w:spacing w:line="520" w:lineRule="exact"/>
        <w:ind w:firstLine="627" w:firstLineChars="196"/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  <w:t>检验项目</w:t>
      </w:r>
    </w:p>
    <w:p>
      <w:pPr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  <w:highlight w:val="none"/>
          <w:vertAlign w:val="baseline"/>
          <w:lang w:val="en-US" w:eastAsia="zh-CN"/>
        </w:rPr>
        <w:t>玉米油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_GB2312" w:hAnsi="宋体" w:eastAsia="仿宋_GB2312"/>
          <w:sz w:val="32"/>
          <w:szCs w:val="32"/>
          <w:highlight w:val="none"/>
          <w:vertAlign w:val="baseline"/>
          <w:lang w:val="en-US" w:eastAsia="zh-CN"/>
        </w:rPr>
        <w:t>总砷（以As计）、铅（以Pb计）、酸值/酸价、过氧化值、苯并[a]芘、溶剂残留量、丁基羟基茴香醚（BHA）、二丁基羟基甲苯（BHT）、特丁基对苯二酚（TBHQ）、没食子酸丙酯（PG）、黄曲霉毒素B</w:t>
      </w:r>
      <w:r>
        <w:rPr>
          <w:rFonts w:hint="eastAsia" w:ascii="仿宋_GB2312" w:hAnsi="宋体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2.其他食用植物油（半精炼、全精炼）抽检项目包括总砷（以As计）、铅（以Pb计）、酸值/酸价、过氧化值、苯并[a]芘、溶剂残留量、游离棉酚、丁基羟基茴香醚（BHA）、二丁基羟基甲苯（BHT）、特丁基对苯二酚（TBHQ）、没食子酸丙酯（PG）、黄曲霉毒素B</w:t>
      </w:r>
      <w:r>
        <w:rPr>
          <w:rFonts w:hint="eastAsia" w:ascii="仿宋_GB2312" w:hAnsi="宋体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3.煎炸过程用油抽检项目包括酸价、极性组分。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三、调味品</w:t>
      </w:r>
    </w:p>
    <w:p>
      <w:pPr>
        <w:spacing w:line="520" w:lineRule="exact"/>
        <w:ind w:firstLine="640" w:firstLineChars="200"/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  <w:t xml:space="preserve">（一）抽检依据 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抽检依据《食品安全国家标准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>
      <w:pPr>
        <w:spacing w:line="520" w:lineRule="exact"/>
        <w:ind w:firstLine="640" w:firstLineChars="200"/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eastAsia="zh-CN"/>
        </w:rPr>
      </w:pPr>
      <w:bookmarkStart w:id="0" w:name="OLE_LINK10"/>
      <w:bookmarkStart w:id="1" w:name="OLE_LINK9"/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  <w:t>检验项目</w:t>
      </w:r>
    </w:p>
    <w:p>
      <w:pPr>
        <w:widowControl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.酿造酱油、配制酱油</w:t>
      </w:r>
      <w:r>
        <w:rPr>
          <w:rFonts w:hint="eastAsia" w:ascii="仿宋_GB2312" w:eastAsia="仿宋_GB2312" w:hAnsiTheme="minorEastAsia"/>
          <w:sz w:val="32"/>
          <w:szCs w:val="32"/>
        </w:rPr>
        <w:t>抽检项目包括总砷（以As计）、铅（以Pb计）、氨基酸态氮（以氮计）、铵盐（以占氨基酸态氮的百分比计）、苯甲酸及其钠盐（以苯甲酸计）、山梨酸及其钾盐（以山梨酸计）、糖精钠（以糖精计）、黄曲霉毒素B</w:t>
      </w:r>
      <w:r>
        <w:rPr>
          <w:rFonts w:hint="eastAsia" w:ascii="仿宋_GB2312" w:eastAsia="仿宋_GB2312" w:hAnsiTheme="minorEastAsia"/>
          <w:sz w:val="32"/>
          <w:szCs w:val="32"/>
          <w:vertAlign w:val="subscript"/>
        </w:rPr>
        <w:t>1</w:t>
      </w:r>
      <w:r>
        <w:rPr>
          <w:rFonts w:hint="eastAsia" w:ascii="仿宋_GB2312" w:eastAsia="仿宋_GB2312" w:hAnsiTheme="minorEastAsia"/>
          <w:sz w:val="32"/>
          <w:szCs w:val="32"/>
        </w:rPr>
        <w:t>、菌落总数、大肠菌群、金黄色葡萄球菌、沙门氏菌、防腐剂混合使用时各自用量占其最大使用量的比例之和。</w:t>
      </w:r>
    </w:p>
    <w:p>
      <w:pPr>
        <w:widowControl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hAnsiTheme="minorEastAsia"/>
          <w:sz w:val="32"/>
          <w:szCs w:val="32"/>
        </w:rPr>
        <w:t>坚果与籽类的泥（酱），包括花生酱等抽检项目包括铅（以Pb计）、总砷（以As计）、苯甲酸及其钠盐（以苯甲酸计）、山梨酸及其钾盐（以山梨酸计）、脱氢乙酸、糖精钠（以糖精计）、甜蜜素、黄曲霉毒素B</w:t>
      </w:r>
      <w:r>
        <w:rPr>
          <w:rFonts w:hint="eastAsia" w:ascii="仿宋_GB2312" w:eastAsia="仿宋_GB2312" w:hAnsiTheme="minorEastAsia"/>
          <w:sz w:val="32"/>
          <w:szCs w:val="32"/>
          <w:vertAlign w:val="subscript"/>
        </w:rPr>
        <w:t>1</w:t>
      </w:r>
      <w:r>
        <w:rPr>
          <w:rFonts w:hint="eastAsia" w:ascii="仿宋_GB2312" w:eastAsia="仿宋_GB2312" w:hAnsiTheme="minorEastAsia"/>
          <w:sz w:val="32"/>
          <w:szCs w:val="32"/>
        </w:rPr>
        <w:t>、金黄色葡萄球菌、沙门氏菌、防腐剂混合使用时各自用量占其最大使用量的比例之和。</w:t>
      </w:r>
    </w:p>
    <w:p>
      <w:pPr>
        <w:widowControl/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3.黄豆酱、甜面酱等</w:t>
      </w:r>
      <w:r>
        <w:rPr>
          <w:rFonts w:hint="eastAsia" w:ascii="仿宋_GB2312" w:eastAsia="仿宋_GB2312" w:hAnsiTheme="minorEastAsia"/>
          <w:sz w:val="32"/>
          <w:szCs w:val="32"/>
        </w:rPr>
        <w:t>抽检项目包括总砷（以As计）、铅（以Pb计）、氨基酸态氮 、苯甲酸及其钠盐（以苯甲酸计）、山梨酸及其钾盐（以山梨酸计）、糖精钠（以糖精计）、黄曲霉毒素B</w:t>
      </w:r>
      <w:r>
        <w:rPr>
          <w:rFonts w:hint="eastAsia" w:ascii="仿宋_GB2312" w:eastAsia="仿宋_GB2312" w:hAnsiTheme="minorEastAsia"/>
          <w:sz w:val="32"/>
          <w:szCs w:val="32"/>
          <w:vertAlign w:val="subscript"/>
        </w:rPr>
        <w:t>1</w:t>
      </w:r>
      <w:r>
        <w:rPr>
          <w:rFonts w:hint="eastAsia" w:ascii="仿宋_GB2312" w:eastAsia="仿宋_GB2312" w:hAnsiTheme="minorEastAsia"/>
          <w:sz w:val="32"/>
          <w:szCs w:val="32"/>
        </w:rPr>
        <w:t>、大肠菌群、金黄色葡萄球菌、沙门氏菌、碱性橙Ⅱ、碱性橙21、碱性橙22、防腐剂混合使用时各自用量占其最大使用量的比例之和。</w:t>
      </w:r>
      <w:bookmarkEnd w:id="0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四、薯类和膨化食品</w:t>
      </w:r>
    </w:p>
    <w:p>
      <w:pPr>
        <w:numPr>
          <w:ilvl w:val="0"/>
          <w:numId w:val="3"/>
        </w:numPr>
        <w:spacing w:line="520" w:lineRule="exact"/>
        <w:ind w:firstLine="627" w:firstLineChars="196"/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  <w:t>抽检依据</w:t>
      </w:r>
    </w:p>
    <w:p>
      <w:pPr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 xml:space="preserve">    抽检依据《食品安全国家标准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>
      <w:pPr>
        <w:spacing w:line="520" w:lineRule="exact"/>
        <w:ind w:firstLine="627" w:firstLineChars="196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  <w:t>检验项目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.含油型膨化食品和非含油型膨化食品抽检项目包括铅（以Pb计）、水分、酸价（以脂肪计）、过氧化值（以脂肪计）、糖精钠（以糖精计）、丁基羟基茴香醚（BHA）（以油脂中的含量计）、二丁基羟基甲苯（BHT）（以油脂中的含量计）、特丁基对苯二酚（TBHQ）（以油脂中的含量计）、没食子酸丙酯（PG）（以油脂中的含量计）、苯甲酸及其钠盐（以苯甲酸计）、山梨酸及其钾盐（以山梨酸计）、二氧化钛、黄曲霉毒素B</w:t>
      </w:r>
      <w:r>
        <w:rPr>
          <w:rFonts w:hint="eastAsia" w:ascii="仿宋_GB2312" w:hAnsi="宋体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、菌落总数、大肠菌群、沙门氏菌、金黄色葡萄球菌。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2.干制薯类抽检项目包括铅（以Pb计）、二氧化硫残留量、二氧化钛、沙门氏菌、金黄色葡萄球菌。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3.薯粉类抽检项目包括铅（以Pb计）、二丁基羟基甲苯（BHT）（以油脂中的含量计）、二氧化硫残留量、沙门氏菌、金黄色葡萄球菌。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9691"/>
    <w:multiLevelType w:val="singleLevel"/>
    <w:tmpl w:val="59019691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0199EA"/>
    <w:multiLevelType w:val="singleLevel"/>
    <w:tmpl w:val="590199EA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19ACE"/>
    <w:multiLevelType w:val="singleLevel"/>
    <w:tmpl w:val="59019AC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0784A"/>
    <w:rsid w:val="05836453"/>
    <w:rsid w:val="05AE1CBB"/>
    <w:rsid w:val="07673291"/>
    <w:rsid w:val="07A378F5"/>
    <w:rsid w:val="09A716A7"/>
    <w:rsid w:val="0AC3354B"/>
    <w:rsid w:val="0F8F1C76"/>
    <w:rsid w:val="0FCD66FA"/>
    <w:rsid w:val="0FD92A07"/>
    <w:rsid w:val="117D3CB7"/>
    <w:rsid w:val="13ED2A9B"/>
    <w:rsid w:val="144C5E11"/>
    <w:rsid w:val="1A3D67D5"/>
    <w:rsid w:val="1EB52B89"/>
    <w:rsid w:val="1F116453"/>
    <w:rsid w:val="206231B7"/>
    <w:rsid w:val="23BB30FA"/>
    <w:rsid w:val="256B45B4"/>
    <w:rsid w:val="285B46D7"/>
    <w:rsid w:val="285B5E26"/>
    <w:rsid w:val="29B77B5F"/>
    <w:rsid w:val="2A6911D0"/>
    <w:rsid w:val="2A9D0FBB"/>
    <w:rsid w:val="2C862620"/>
    <w:rsid w:val="2D772B73"/>
    <w:rsid w:val="2DFF26D2"/>
    <w:rsid w:val="2E3D73CE"/>
    <w:rsid w:val="2E8159B5"/>
    <w:rsid w:val="2FC21CCB"/>
    <w:rsid w:val="301D73A0"/>
    <w:rsid w:val="32C3322A"/>
    <w:rsid w:val="32EE7FF7"/>
    <w:rsid w:val="331A7D76"/>
    <w:rsid w:val="35926DE7"/>
    <w:rsid w:val="35F20533"/>
    <w:rsid w:val="3794722A"/>
    <w:rsid w:val="39FA095B"/>
    <w:rsid w:val="3B576B69"/>
    <w:rsid w:val="3CD45A6A"/>
    <w:rsid w:val="40542EE5"/>
    <w:rsid w:val="41043213"/>
    <w:rsid w:val="410D705A"/>
    <w:rsid w:val="418C7CCE"/>
    <w:rsid w:val="419C65F6"/>
    <w:rsid w:val="46CF676D"/>
    <w:rsid w:val="47CE6D95"/>
    <w:rsid w:val="47FA698D"/>
    <w:rsid w:val="48AA7F43"/>
    <w:rsid w:val="48E40B7B"/>
    <w:rsid w:val="499D3A11"/>
    <w:rsid w:val="4B3E385D"/>
    <w:rsid w:val="4BAE137A"/>
    <w:rsid w:val="4DF4224C"/>
    <w:rsid w:val="4EEB68E7"/>
    <w:rsid w:val="51290D92"/>
    <w:rsid w:val="51F33DF1"/>
    <w:rsid w:val="52B858AA"/>
    <w:rsid w:val="535E3224"/>
    <w:rsid w:val="543475DD"/>
    <w:rsid w:val="557D1DBF"/>
    <w:rsid w:val="57E94D4F"/>
    <w:rsid w:val="587700E6"/>
    <w:rsid w:val="5C936F88"/>
    <w:rsid w:val="608F700B"/>
    <w:rsid w:val="61357DFB"/>
    <w:rsid w:val="614352C3"/>
    <w:rsid w:val="61A33444"/>
    <w:rsid w:val="6308146A"/>
    <w:rsid w:val="650E5A99"/>
    <w:rsid w:val="66027FA1"/>
    <w:rsid w:val="686E4179"/>
    <w:rsid w:val="696F21C2"/>
    <w:rsid w:val="6B051E15"/>
    <w:rsid w:val="6B5054BF"/>
    <w:rsid w:val="6D9A3359"/>
    <w:rsid w:val="6E823E8E"/>
    <w:rsid w:val="6EE615B3"/>
    <w:rsid w:val="6FE753D0"/>
    <w:rsid w:val="715948AC"/>
    <w:rsid w:val="721A18E4"/>
    <w:rsid w:val="73C126E6"/>
    <w:rsid w:val="73DC48B0"/>
    <w:rsid w:val="74562D20"/>
    <w:rsid w:val="74632443"/>
    <w:rsid w:val="765A492E"/>
    <w:rsid w:val="76A103C2"/>
    <w:rsid w:val="778966AD"/>
    <w:rsid w:val="787207CA"/>
    <w:rsid w:val="7BD349A0"/>
    <w:rsid w:val="7C1B2F78"/>
    <w:rsid w:val="7E027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标题 2 Char"/>
    <w:basedOn w:val="5"/>
    <w:link w:val="2"/>
    <w:qFormat/>
    <w:uiPriority w:val="0"/>
    <w:rPr>
      <w:rFonts w:ascii="Arial" w:hAnsi="Arial" w:eastAsia="黑体"/>
      <w:b/>
      <w:sz w:val="32"/>
    </w:rPr>
  </w:style>
  <w:style w:type="paragraph" w:customStyle="1" w:styleId="10">
    <w:name w:val="_Style 4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410-hlz</cp:lastModifiedBy>
  <dcterms:modified xsi:type="dcterms:W3CDTF">2017-10-12T04:07:07Z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